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u w:val="single"/>
        </w:rPr>
      </w:pPr>
      <w:r>
        <w:rPr>
          <w:u w:val="single"/>
          <w:rtl w:val="0"/>
          <w:lang w:val="en-US"/>
        </w:rPr>
        <w:t>TVC Good Friday Service - 7 Sayings From the Cross</w:t>
      </w:r>
    </w:p>
    <w:p>
      <w:pPr>
        <w:pStyle w:val="Body A"/>
      </w:pPr>
    </w:p>
    <w:p>
      <w:pPr>
        <w:pStyle w:val="Heading 2"/>
      </w:pPr>
      <w:r>
        <w:rPr>
          <w:rtl w:val="0"/>
          <w:lang w:val="en-US"/>
        </w:rPr>
        <w:t>[Sayings 1-3]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to the 7 sayings of Christ from the cross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When they came to the place called The Skull, there they crucified Him and the criminals, one on the right and the other on the left.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Man had done his worst.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The fell deed had been done.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The One by whom the world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was made had come into it, but He was rejected.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No ordinary death would satisfy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His implacable foes. A death of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intense suffering and shame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was decided upon. A cross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secured; the Savior of 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world was nailed to it.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But listen...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His pallid lips seem to be moving.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Is He crying for mercy?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Is He pronouncing a curse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 His crucifiers?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No.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to the words of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Forgiveness</w:t>
      </w:r>
    </w:p>
    <w:p>
      <w:pPr>
        <w:pStyle w:val="Body A"/>
      </w:pPr>
    </w:p>
    <w:p>
      <w:pPr>
        <w:pStyle w:val="Heading 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Saying 1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Father forgive them;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for they know not what they do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It was no accident that Christ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was crucified between two thieves.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There are no accidents in a world that is governed by a sovereign God.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second of Christ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sayings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 the cross was spoken in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response to the request of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dying thief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And he said unto Jesus,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Lord, remember me when You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come into Your kingdom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  <w:r>
        <w:rPr>
          <w:rtl w:val="0"/>
          <w:lang w:val="en-US"/>
        </w:rPr>
        <w:t>to the words of Salvation</w:t>
      </w:r>
    </w:p>
    <w:p>
      <w:pPr>
        <w:pStyle w:val="Body A"/>
      </w:pPr>
    </w:p>
    <w:p>
      <w:pPr>
        <w:pStyle w:val="Heading 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Saying 2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And Jesus said unto him,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Truly I say unto you,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today you will be with me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in Paradise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Grace is free; the invitation is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broad enough to take in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whosoever believeth.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dying thief had no good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works either before or after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conversion.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If it wasn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too late for him...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  <w:r>
        <w:rPr>
          <w:rtl w:val="0"/>
          <w:lang w:val="en-US"/>
        </w:rPr>
        <w:t>To the words of Affection</w:t>
      </w:r>
    </w:p>
    <w:p>
      <w:pPr>
        <w:pStyle w:val="Body A"/>
      </w:pPr>
    </w:p>
    <w:p>
      <w:pPr>
        <w:pStyle w:val="Heading 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Saying 3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He said to His mother,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Woman, behold, your son!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Then He said to the disciple,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Behold your mother!</w:t>
      </w:r>
      <w:r>
        <w:rPr>
          <w:rtl w:val="0"/>
          <w:lang w:val="en-US"/>
        </w:rPr>
        <w:t xml:space="preserve">”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piercings of soul must have been hers when she saw her son despised and rejected o</w:t>
      </w:r>
      <w:r>
        <w:rPr>
          <w:rtl w:val="0"/>
          <w:lang w:val="en-US"/>
        </w:rPr>
        <w:t xml:space="preserve">f </w:t>
      </w:r>
      <w:r>
        <w:rPr>
          <w:rtl w:val="0"/>
          <w:lang w:val="en-US"/>
        </w:rPr>
        <w:t>men.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What grief must have wrung her heart as she stood beneath His cross.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In the last and awful hours of His human life, amid the infinite sufferings of the cross, the same One who wrote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Honor Your father and mother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thought of her who loved Him, and commended her into the care of His beloved disciple.</w:t>
      </w:r>
    </w:p>
    <w:p>
      <w:pPr>
        <w:pStyle w:val="Body A"/>
      </w:pPr>
    </w:p>
    <w:p>
      <w:pPr>
        <w:pStyle w:val="Body A"/>
      </w:pPr>
    </w:p>
    <w:p>
      <w:pPr>
        <w:pStyle w:val="Heading 2"/>
      </w:pPr>
      <w:r>
        <w:rPr>
          <w:rtl w:val="0"/>
          <w:lang w:val="en-US"/>
        </w:rPr>
        <w:t>[Sayings 4-5]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To the words of Anguish</w:t>
      </w:r>
    </w:p>
    <w:p>
      <w:pPr>
        <w:pStyle w:val="Body A"/>
      </w:pPr>
    </w:p>
    <w:p>
      <w:pPr>
        <w:pStyle w:val="Heading 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Saying 4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My God, my God, why have You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forsaken Me?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The word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forsaken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is one of the most tragic in all human speech.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During the thirty and three years the Son had been on earth, He enjoyed unbroken communion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with the Father.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My God, my God, why have You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forsaken Me?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This was a cry that made the very earth tremble and that reverberated throughout the entire universe.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Now on the cross the Lord Jesus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was receiving the wages that were due His people. He had no sin of His own, for He was the Holy One of God.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He was paying the price for our sins in His own body on the Tree.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Here we see the awfulness of sin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and the character of its wages.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Here we see the absolute holiness and justice of God.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And yet...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Here we see the basis of our salvation.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Here we see the supreme evidence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 Christ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love for us.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  <w:r>
        <w:rPr>
          <w:rtl w:val="0"/>
          <w:lang w:val="en-US"/>
        </w:rPr>
        <w:t>To the words of Suffering</w:t>
      </w:r>
    </w:p>
    <w:p>
      <w:pPr>
        <w:pStyle w:val="Body A"/>
      </w:pPr>
    </w:p>
    <w:p>
      <w:pPr>
        <w:pStyle w:val="Heading 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Saying 5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Jesus, knowing that all things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were now accomplished, that 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scripture might be fulfilled, said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thirst.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I thirst.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These words were spoken by 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suffering Savior a little before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He bowed His head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and gave up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spirit.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I thirst.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These words reveal Christ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humanity, that He became one of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us.  They remind us that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Jesus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Christ can sympathize with 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basic needs and sufferings of His people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problem of suffering has ever been a perplexing one. Why should suffering be necessary in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world that is governed by a perfect God;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God who not only has the power to prevent evil but whose very nature is Love?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Why should there be pain and suffering, sickness and death?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After all our reasonings, we ask,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does God see? Does God care?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Like all questions, these must be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taken to the Cross.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And while the Cross does not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answer all our questions or solve all the problems of pain,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evil, and suffering, it does supply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essential perspective from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which to look at them.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Cross reminds us that God is not unaware of our sorrows, nor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is God indifferent to our pain, for in the person of His Son, Jesus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Christ,  God has Himself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borne our griefs, and carried ou</w:t>
      </w:r>
      <w:r>
        <w:rPr>
          <w:rtl w:val="0"/>
          <w:lang w:val="en-US"/>
        </w:rPr>
        <w:t xml:space="preserve">r </w:t>
      </w:r>
      <w:r>
        <w:rPr>
          <w:rtl w:val="0"/>
          <w:lang w:val="en-US"/>
        </w:rPr>
        <w:t>sorrows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(Isaiah 53:4)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No matter how despondent you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may be, no matter how rugged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your path and sad your lot, you are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invited to spread it all before 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Lord Jesus and cast all your cares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upon Him, knowing that your Redeemer is not unfamiliar with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road you walk, and that in the end, His grace will be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sufficient to carry you through.</w:t>
      </w:r>
    </w:p>
    <w:p>
      <w:pPr>
        <w:pStyle w:val="Body A"/>
      </w:pPr>
    </w:p>
    <w:p>
      <w:pPr>
        <w:pStyle w:val="Body A"/>
      </w:pPr>
    </w:p>
    <w:p>
      <w:pPr>
        <w:pStyle w:val="Heading 2"/>
      </w:pPr>
      <w:r>
        <w:rPr>
          <w:rtl w:val="0"/>
          <w:lang w:val="en-US"/>
        </w:rPr>
        <w:t>[Sayings 6-7]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  <w:r>
        <w:rPr>
          <w:rtl w:val="0"/>
          <w:lang w:val="en-US"/>
        </w:rPr>
        <w:t>To the words of Victory</w:t>
      </w:r>
    </w:p>
    <w:p>
      <w:pPr>
        <w:pStyle w:val="Body A"/>
      </w:pPr>
    </w:p>
    <w:p>
      <w:pPr>
        <w:pStyle w:val="Heading 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Saying 6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It is finished!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This was not the despairing cry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 a helpless martyr; it was not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 expression of satisfaction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that the termination of His sufferings was now reached; it was not the last gasp of a worn-out life.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No, rather this was the declaration on the part of the divine Redeemer that all for which He came from heaven to earth to do was now complete; that the full price of our redemption was now paid.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Divine holiness had been fully satisfied.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Here we see the accomplishment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 our atonement.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Here we see the end of our sin.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Listen...</w:t>
      </w:r>
    </w:p>
    <w:p>
      <w:pPr>
        <w:pStyle w:val="Body A"/>
      </w:pPr>
      <w:r>
        <w:rPr>
          <w:rtl w:val="0"/>
          <w:lang w:val="en-US"/>
        </w:rPr>
        <w:t>To the words of Contentment</w:t>
      </w:r>
    </w:p>
    <w:p>
      <w:pPr>
        <w:pStyle w:val="Body A"/>
      </w:pPr>
    </w:p>
    <w:p>
      <w:pPr>
        <w:pStyle w:val="Heading 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Saying 7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Father, into Thy hands I commit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My spirit.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Both the first and last sayings of Christ from the cross begin with the same word...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Father.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Savior committed His spirit into the hands of His Father in death, because it had been in 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Father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hands all through His life.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Just as a river after many turnings and windings pours itself back into the ocean, nothing but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God can finally satisfy our spirits in this world; we find our true home in Him.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And none but He can save us when we go to the next world.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symbol of the Christian faith is the cross...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not the measuring scales.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That is why we now come with grateful hearts to the table of the Lord.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You are invited to come to the table, to take the bread and the cup, and to remember what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Christ has done for you.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Please come forward via the center aisle, please bring a nail representing your sin, and nail it to the cross.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Then you are invited to receive communion,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and return to your seat via the side aisles.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tl w:val="0"/>
          <w:lang w:val="en-US"/>
        </w:rPr>
        <w:t>Ending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We thank God for His amazing love,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displayed on the cross of Calvary; where Jesus Christ, the Son of God, laid down His life for us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so that we may be forgiven.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You are welcome to stay for a brief time of silent prayer.   Please remain in silence as you leave.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